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064B8" w14:textId="77777777" w:rsidR="00C458ED" w:rsidRPr="00E371B1" w:rsidRDefault="00C458ED" w:rsidP="0092693A">
      <w:pPr>
        <w:pBdr>
          <w:top w:val="single" w:sz="4" w:space="1" w:color="auto"/>
          <w:bottom w:val="single" w:sz="4" w:space="1" w:color="auto"/>
        </w:pBdr>
        <w:shd w:val="clear" w:color="auto" w:fill="262626" w:themeFill="text1" w:themeFillTint="D9"/>
        <w:jc w:val="center"/>
        <w:rPr>
          <w:b/>
          <w:smallCaps/>
        </w:rPr>
      </w:pPr>
      <w:r w:rsidRPr="00E371B1">
        <w:rPr>
          <w:b/>
          <w:smallCaps/>
        </w:rPr>
        <w:t>Instructions</w:t>
      </w:r>
    </w:p>
    <w:p w14:paraId="6104C554" w14:textId="77777777" w:rsidR="00AF4858" w:rsidRPr="00AF4858" w:rsidRDefault="0092693A" w:rsidP="00A15A8C">
      <w:pPr>
        <w:pBdr>
          <w:bottom w:val="single" w:sz="4" w:space="1" w:color="auto"/>
        </w:pBdr>
      </w:pPr>
      <w:r w:rsidRPr="00E371B1">
        <w:t>Please supply requested information in the blue-shaded areas and indicate any attachments that have been included.</w:t>
      </w:r>
      <w:r w:rsidR="00AF4858">
        <w:t xml:space="preserve">  </w:t>
      </w:r>
      <w:r w:rsidR="00E86145" w:rsidRPr="00AF4858">
        <w:t xml:space="preserve">Where appropriate, supporting documentation may be referenced by specific page and/or paragraph number(s). </w:t>
      </w:r>
    </w:p>
    <w:p w14:paraId="0F13033B" w14:textId="77777777" w:rsidR="00AF4858" w:rsidRPr="00AF4858" w:rsidRDefault="00AF4858" w:rsidP="00A15A8C">
      <w:pPr>
        <w:pBdr>
          <w:bottom w:val="single" w:sz="4" w:space="1" w:color="auto"/>
        </w:pBdr>
      </w:pPr>
    </w:p>
    <w:p w14:paraId="676FAE7F" w14:textId="77777777" w:rsidR="00AF4858" w:rsidRPr="009D764A" w:rsidRDefault="00E86145" w:rsidP="00AF4858">
      <w:pPr>
        <w:pBdr>
          <w:bottom w:val="single" w:sz="4" w:space="1" w:color="auto"/>
        </w:pBdr>
        <w:rPr>
          <w:b/>
          <w:bCs/>
        </w:rPr>
      </w:pPr>
      <w:r w:rsidRPr="009D764A">
        <w:rPr>
          <w:b/>
          <w:bCs/>
        </w:rPr>
        <w:t>If any of this response contains confidential information,</w:t>
      </w:r>
      <w:r w:rsidR="005E02CB" w:rsidRPr="009D764A">
        <w:rPr>
          <w:b/>
          <w:bCs/>
        </w:rPr>
        <w:t xml:space="preserve"> as defined by IC 5-14-3, provide a </w:t>
      </w:r>
      <w:r w:rsidR="00AF4858" w:rsidRPr="009D764A">
        <w:rPr>
          <w:b/>
          <w:bCs/>
        </w:rPr>
        <w:t>separate</w:t>
      </w:r>
      <w:r w:rsidR="005E02CB" w:rsidRPr="009D764A">
        <w:rPr>
          <w:b/>
          <w:bCs/>
        </w:rPr>
        <w:t xml:space="preserve"> redacted (for public release) version of this </w:t>
      </w:r>
      <w:r w:rsidR="00082C7C" w:rsidRPr="009D764A">
        <w:rPr>
          <w:b/>
          <w:bCs/>
        </w:rPr>
        <w:t xml:space="preserve">document.  </w:t>
      </w:r>
      <w:r w:rsidR="00AF4858" w:rsidRPr="009D764A">
        <w:rPr>
          <w:b/>
          <w:bCs/>
        </w:rPr>
        <w:t xml:space="preserve">Specify which statutory exception of APRA applies </w:t>
      </w:r>
      <w:r w:rsidR="00082C7C" w:rsidRPr="009D764A">
        <w:rPr>
          <w:b/>
          <w:bCs/>
        </w:rPr>
        <w:t>and p</w:t>
      </w:r>
      <w:r w:rsidR="00AF4858" w:rsidRPr="009D764A">
        <w:rPr>
          <w:b/>
          <w:bCs/>
        </w:rPr>
        <w:t>rovide a description explaining the manner in which the statutor</w:t>
      </w:r>
      <w:r w:rsidR="00082C7C" w:rsidRPr="009D764A">
        <w:rPr>
          <w:b/>
          <w:bCs/>
        </w:rPr>
        <w:t>y exception to the APRA applies</w:t>
      </w:r>
      <w:r w:rsidR="00AF4858" w:rsidRPr="009D764A">
        <w:rPr>
          <w:b/>
          <w:bCs/>
        </w:rPr>
        <w:t>.</w:t>
      </w:r>
    </w:p>
    <w:p w14:paraId="42862397" w14:textId="77777777" w:rsidR="0092693A" w:rsidRPr="00E371B1" w:rsidRDefault="0092693A" w:rsidP="00685FD0">
      <w:pPr>
        <w:rPr>
          <w:b/>
          <w:smallCaps/>
        </w:rPr>
      </w:pPr>
    </w:p>
    <w:p w14:paraId="2F102F73" w14:textId="72FB1A3C" w:rsidR="00CA57A4" w:rsidRPr="00E371B1" w:rsidRDefault="00CA57A4" w:rsidP="00685FD0">
      <w:pPr>
        <w:rPr>
          <w:b/>
          <w:smallCaps/>
          <w:u w:val="single"/>
        </w:rPr>
      </w:pPr>
      <w:r w:rsidRPr="00E371B1">
        <w:rPr>
          <w:b/>
          <w:smallCaps/>
          <w:u w:val="single"/>
        </w:rPr>
        <w:t>Respondent Name</w:t>
      </w:r>
      <w:r w:rsidRPr="00591548">
        <w:rPr>
          <w:b/>
          <w:smallCaps/>
          <w:u w:val="single"/>
        </w:rPr>
        <w:t>:</w:t>
      </w:r>
      <w:r w:rsidR="00B17199" w:rsidRPr="00591548">
        <w:rPr>
          <w:b/>
          <w:smallCaps/>
        </w:rPr>
        <w:t xml:space="preserve"> </w:t>
      </w:r>
      <w:r w:rsidR="00591548" w:rsidRPr="00591548">
        <w:rPr>
          <w:b/>
          <w:smallCaps/>
        </w:rPr>
        <w:t xml:space="preserve"> </w:t>
      </w:r>
      <w:r w:rsidR="00591548" w:rsidRPr="00591548">
        <w:rPr>
          <w:b/>
        </w:rPr>
        <w:t>Axon Enterprise, Inc</w:t>
      </w:r>
    </w:p>
    <w:p w14:paraId="3FD170C4" w14:textId="77777777" w:rsidR="00C43DF7" w:rsidRDefault="00C43DF7" w:rsidP="001844F8"/>
    <w:p w14:paraId="54420252" w14:textId="7932F8B4" w:rsidR="00C43DF7" w:rsidRPr="00E719AD" w:rsidRDefault="00C43DF7" w:rsidP="00C43DF7">
      <w:pPr>
        <w:spacing w:line="240" w:lineRule="auto"/>
        <w:rPr>
          <w:b/>
          <w:smallCaps/>
        </w:rPr>
      </w:pPr>
      <w:r w:rsidRPr="00E719AD">
        <w:rPr>
          <w:b/>
          <w:smallCaps/>
        </w:rPr>
        <w:t>Attachment</w:t>
      </w:r>
      <w:r w:rsidR="004B0819">
        <w:rPr>
          <w:b/>
          <w:smallCaps/>
        </w:rPr>
        <w:t xml:space="preserve">s </w:t>
      </w:r>
      <w:r w:rsidR="00484215">
        <w:rPr>
          <w:b/>
          <w:smallCaps/>
        </w:rPr>
        <w:t>F</w:t>
      </w:r>
      <w:r w:rsidRPr="00E719AD">
        <w:rPr>
          <w:b/>
          <w:smallCaps/>
        </w:rPr>
        <w:t xml:space="preserve"> – </w:t>
      </w:r>
      <w:r w:rsidR="00484215">
        <w:rPr>
          <w:b/>
          <w:smallCaps/>
        </w:rPr>
        <w:t>Technical Proposal</w:t>
      </w:r>
    </w:p>
    <w:p w14:paraId="65F24D3E" w14:textId="4A324419" w:rsidR="004B0819" w:rsidRDefault="004B0819" w:rsidP="00C43DF7">
      <w:pPr>
        <w:spacing w:line="240" w:lineRule="auto"/>
        <w:rPr>
          <w:b/>
          <w:smallCaps/>
          <w:color w:val="FF0000"/>
        </w:rPr>
      </w:pPr>
    </w:p>
    <w:p w14:paraId="010E046D" w14:textId="3957CA3E" w:rsidR="004B0819" w:rsidRPr="00484215" w:rsidRDefault="00484215" w:rsidP="004B0819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 w:rsidRPr="00484215">
        <w:rPr>
          <w:rFonts w:asciiTheme="majorHAnsi" w:hAnsiTheme="majorHAnsi" w:cstheme="majorHAnsi"/>
        </w:rPr>
        <w:t xml:space="preserve">How </w:t>
      </w:r>
      <w:r w:rsidRPr="00484215">
        <w:t>are the warranty timeframes tracked?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4030"/>
      </w:tblGrid>
      <w:tr w:rsidR="004B0819" w:rsidRPr="00BC7440" w14:paraId="6DFB0728" w14:textId="77777777" w:rsidTr="00516F90">
        <w:tc>
          <w:tcPr>
            <w:tcW w:w="14030" w:type="dxa"/>
            <w:shd w:val="clear" w:color="auto" w:fill="D9E2F3" w:themeFill="accent5" w:themeFillTint="33"/>
          </w:tcPr>
          <w:p w14:paraId="11CC8445" w14:textId="657AD44A" w:rsidR="004B0819" w:rsidRPr="00BC7440" w:rsidRDefault="005B56B8" w:rsidP="00516F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The warranty date starts on the 1</w:t>
            </w:r>
            <w:r w:rsidRPr="005B56B8">
              <w:rPr>
                <w:rFonts w:asciiTheme="majorHAnsi" w:hAnsiTheme="majorHAnsi" w:cstheme="majorHAnsi"/>
                <w:vertAlign w:val="superscript"/>
              </w:rPr>
              <w:t>st</w:t>
            </w:r>
            <w:r>
              <w:rPr>
                <w:rFonts w:asciiTheme="majorHAnsi" w:hAnsiTheme="majorHAnsi" w:cstheme="majorHAnsi"/>
              </w:rPr>
              <w:t xml:space="preserve"> or 15</w:t>
            </w:r>
            <w:r w:rsidRPr="005B56B8">
              <w:rPr>
                <w:rFonts w:asciiTheme="majorHAnsi" w:hAnsiTheme="majorHAnsi" w:cstheme="majorHAnsi"/>
                <w:vertAlign w:val="superscript"/>
              </w:rPr>
              <w:t>th</w:t>
            </w:r>
            <w:r>
              <w:rPr>
                <w:rFonts w:asciiTheme="majorHAnsi" w:hAnsiTheme="majorHAnsi" w:cstheme="majorHAnsi"/>
              </w:rPr>
              <w:t xml:space="preserve"> of the </w:t>
            </w:r>
            <w:r w:rsidR="00C55191">
              <w:rPr>
                <w:rFonts w:asciiTheme="majorHAnsi" w:hAnsiTheme="majorHAnsi" w:cstheme="majorHAnsi"/>
              </w:rPr>
              <w:t>next</w:t>
            </w:r>
            <w:r>
              <w:rPr>
                <w:rFonts w:asciiTheme="majorHAnsi" w:hAnsiTheme="majorHAnsi" w:cstheme="majorHAnsi"/>
              </w:rPr>
              <w:t xml:space="preserve"> month after shipment of </w:t>
            </w:r>
            <w:r w:rsidR="00C55191">
              <w:rPr>
                <w:rFonts w:asciiTheme="majorHAnsi" w:hAnsiTheme="majorHAnsi" w:cstheme="majorHAnsi"/>
              </w:rPr>
              <w:t>hardware</w:t>
            </w:r>
            <w:r>
              <w:rPr>
                <w:rFonts w:asciiTheme="majorHAnsi" w:hAnsiTheme="majorHAnsi" w:cstheme="majorHAnsi"/>
              </w:rPr>
              <w:t>. This gives an agency 30-45 days to deploy hardware before the warra</w:t>
            </w:r>
            <w:r w:rsidR="00C321CD">
              <w:rPr>
                <w:rFonts w:asciiTheme="majorHAnsi" w:hAnsiTheme="majorHAnsi" w:cstheme="majorHAnsi"/>
              </w:rPr>
              <w:t>n</w:t>
            </w:r>
            <w:r>
              <w:rPr>
                <w:rFonts w:asciiTheme="majorHAnsi" w:hAnsiTheme="majorHAnsi" w:cstheme="majorHAnsi"/>
              </w:rPr>
              <w:t xml:space="preserve">ty timeframe begins to be tracked. </w:t>
            </w:r>
            <w:r w:rsidR="00C321CD">
              <w:rPr>
                <w:rFonts w:asciiTheme="majorHAnsi" w:hAnsiTheme="majorHAnsi" w:cstheme="majorHAnsi"/>
              </w:rPr>
              <w:t xml:space="preserve">With large scale deployments, it is not uncommon for the agency to phase deployments, similar to Indiana State Police with two phases in year 1 of 870 and 100 and annual phases of 50 from there. Hardware for subsequent phases </w:t>
            </w:r>
            <w:proofErr w:type="gramStart"/>
            <w:r w:rsidR="00C321CD">
              <w:rPr>
                <w:rFonts w:asciiTheme="majorHAnsi" w:hAnsiTheme="majorHAnsi" w:cstheme="majorHAnsi"/>
              </w:rPr>
              <w:t>are</w:t>
            </w:r>
            <w:proofErr w:type="gramEnd"/>
            <w:r w:rsidR="00C321CD">
              <w:rPr>
                <w:rFonts w:asciiTheme="majorHAnsi" w:hAnsiTheme="majorHAnsi" w:cstheme="majorHAnsi"/>
              </w:rPr>
              <w:t xml:space="preserve"> not shipped until the appropriate time</w:t>
            </w:r>
            <w:r w:rsidR="00C55191">
              <w:rPr>
                <w:rFonts w:asciiTheme="majorHAnsi" w:hAnsiTheme="majorHAnsi" w:cstheme="majorHAnsi"/>
              </w:rPr>
              <w:t xml:space="preserve"> and warranty timeframe not started</w:t>
            </w:r>
            <w:r w:rsidR="00C321CD">
              <w:rPr>
                <w:rFonts w:asciiTheme="majorHAnsi" w:hAnsiTheme="majorHAnsi" w:cstheme="majorHAnsi"/>
              </w:rPr>
              <w:t xml:space="preserve"> unless requested </w:t>
            </w:r>
            <w:r w:rsidR="00C55191">
              <w:rPr>
                <w:rFonts w:asciiTheme="majorHAnsi" w:hAnsiTheme="majorHAnsi" w:cstheme="majorHAnsi"/>
              </w:rPr>
              <w:t xml:space="preserve">to be expedited </w:t>
            </w:r>
            <w:r w:rsidR="00C321CD">
              <w:rPr>
                <w:rFonts w:asciiTheme="majorHAnsi" w:hAnsiTheme="majorHAnsi" w:cstheme="majorHAnsi"/>
              </w:rPr>
              <w:t xml:space="preserve">by agency. This phased approach coupled with </w:t>
            </w:r>
            <w:r w:rsidR="00A118A6">
              <w:rPr>
                <w:rFonts w:asciiTheme="majorHAnsi" w:hAnsiTheme="majorHAnsi" w:cstheme="majorHAnsi"/>
              </w:rPr>
              <w:t xml:space="preserve">the </w:t>
            </w:r>
            <w:r w:rsidR="00C321CD">
              <w:rPr>
                <w:rFonts w:asciiTheme="majorHAnsi" w:hAnsiTheme="majorHAnsi" w:cstheme="majorHAnsi"/>
              </w:rPr>
              <w:t xml:space="preserve">warranty date coinciding </w:t>
            </w:r>
            <w:r w:rsidR="00A118A6">
              <w:rPr>
                <w:rFonts w:asciiTheme="majorHAnsi" w:hAnsiTheme="majorHAnsi" w:cstheme="majorHAnsi"/>
              </w:rPr>
              <w:t xml:space="preserve">with shipping handles most large deployment warranty concerns.  </w:t>
            </w:r>
          </w:p>
        </w:tc>
      </w:tr>
    </w:tbl>
    <w:p w14:paraId="207D9D74" w14:textId="3CB5E51A" w:rsidR="004B0819" w:rsidRPr="00C43DF7" w:rsidRDefault="004B0819" w:rsidP="00C43DF7">
      <w:pPr>
        <w:spacing w:line="240" w:lineRule="auto"/>
        <w:rPr>
          <w:b/>
          <w:smallCaps/>
          <w:color w:val="FF0000"/>
        </w:rPr>
      </w:pPr>
    </w:p>
    <w:p w14:paraId="2AC74C3A" w14:textId="2A73B2DF" w:rsidR="00BC7440" w:rsidRPr="00484215" w:rsidRDefault="00484215" w:rsidP="00BC7440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 w:rsidRPr="00484215">
        <w:rPr>
          <w:rFonts w:asciiTheme="majorHAnsi" w:hAnsiTheme="majorHAnsi" w:cstheme="majorHAnsi"/>
        </w:rPr>
        <w:t xml:space="preserve">For </w:t>
      </w:r>
      <w:r w:rsidRPr="00484215">
        <w:t xml:space="preserve">items that have serial numbers, would Axon be open to not starting the warranty period until the item gets deployed into service? 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4030"/>
      </w:tblGrid>
      <w:tr w:rsidR="005B4AA9" w:rsidRPr="00BC7440" w14:paraId="3E66CFED" w14:textId="77777777" w:rsidTr="00311665">
        <w:tc>
          <w:tcPr>
            <w:tcW w:w="14390" w:type="dxa"/>
            <w:shd w:val="clear" w:color="auto" w:fill="D9E2F3" w:themeFill="accent5" w:themeFillTint="33"/>
          </w:tcPr>
          <w:p w14:paraId="0E64719A" w14:textId="718DF378" w:rsidR="005B4AA9" w:rsidRPr="00BC7440" w:rsidRDefault="00A118A6" w:rsidP="003116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Axon is open to not starting the warranty period until items get deployed into service. Managing warranty dates on a device by device, date by date system will be challenging for both Axon and Indiana State Police. </w:t>
            </w:r>
            <w:r w:rsidR="00C55191">
              <w:rPr>
                <w:rFonts w:asciiTheme="majorHAnsi" w:hAnsiTheme="majorHAnsi" w:cstheme="majorHAnsi"/>
              </w:rPr>
              <w:t>A possible solution would be a batched solution, where deployed gear is assigned a bucket that is covered under warranty until agreed upon date. Axon does not anticipate any warranty time-frame challenges because</w:t>
            </w:r>
            <w:r w:rsidR="00F1540A">
              <w:rPr>
                <w:rFonts w:asciiTheme="majorHAnsi" w:hAnsiTheme="majorHAnsi" w:cstheme="majorHAnsi"/>
              </w:rPr>
              <w:t xml:space="preserve"> of</w:t>
            </w:r>
            <w:r w:rsidR="00C55191">
              <w:rPr>
                <w:rFonts w:asciiTheme="majorHAnsi" w:hAnsiTheme="majorHAnsi" w:cstheme="majorHAnsi"/>
              </w:rPr>
              <w:t xml:space="preserve"> Indiana State Police’s aggressive deployment schedule, multiple phases to follow, and how Axon determines warranty timeframes. </w:t>
            </w:r>
            <w:proofErr w:type="spellStart"/>
            <w:r>
              <w:rPr>
                <w:rFonts w:asciiTheme="majorHAnsi" w:hAnsiTheme="majorHAnsi" w:cstheme="majorHAnsi"/>
              </w:rPr>
              <w:t>Axon</w:t>
            </w:r>
            <w:proofErr w:type="spellEnd"/>
            <w:r>
              <w:rPr>
                <w:rFonts w:asciiTheme="majorHAnsi" w:hAnsiTheme="majorHAnsi" w:cstheme="majorHAnsi"/>
              </w:rPr>
              <w:t xml:space="preserve"> is willing to work with Indiana State Police to come to a mutually agreed upon approach that adequately covers the agency’s hardware and protects Axon from inordinate liability, while maintaining the agreed upon proposal amount. </w:t>
            </w:r>
          </w:p>
        </w:tc>
      </w:tr>
    </w:tbl>
    <w:p w14:paraId="2D1E0D82" w14:textId="73EC6F10" w:rsidR="00E719AD" w:rsidRDefault="00E719AD" w:rsidP="00591548">
      <w:pPr>
        <w:rPr>
          <w:rFonts w:asciiTheme="majorHAnsi" w:hAnsiTheme="majorHAnsi" w:cstheme="majorHAnsi"/>
        </w:rPr>
      </w:pPr>
    </w:p>
    <w:p w14:paraId="62DC573D" w14:textId="559A39D2" w:rsidR="00BC7440" w:rsidRPr="00484215" w:rsidRDefault="00484215" w:rsidP="00BC7440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bCs/>
          <w:color w:val="000000" w:themeColor="text1"/>
        </w:rPr>
      </w:pPr>
      <w:r w:rsidRPr="00484215">
        <w:rPr>
          <w:bCs/>
        </w:rPr>
        <w:t xml:space="preserve">Are the </w:t>
      </w:r>
      <w:proofErr w:type="spellStart"/>
      <w:r w:rsidRPr="00484215">
        <w:rPr>
          <w:bCs/>
        </w:rPr>
        <w:t>Cradlepoint</w:t>
      </w:r>
      <w:proofErr w:type="spellEnd"/>
      <w:r w:rsidRPr="00484215">
        <w:rPr>
          <w:bCs/>
        </w:rPr>
        <w:t xml:space="preserve"> IBR-1700 and the Axon Body 3 included in the 3% extra/spare equipment that will be provided by Axon at no cost?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4030"/>
      </w:tblGrid>
      <w:tr w:rsidR="00BC7440" w:rsidRPr="00BC7440" w14:paraId="6AB71E22" w14:textId="77777777" w:rsidTr="00D73F7E">
        <w:tc>
          <w:tcPr>
            <w:tcW w:w="14030" w:type="dxa"/>
            <w:shd w:val="clear" w:color="auto" w:fill="D9E2F3" w:themeFill="accent5" w:themeFillTint="33"/>
          </w:tcPr>
          <w:p w14:paraId="3A0B9DF2" w14:textId="2FE05051" w:rsidR="00BC7440" w:rsidRPr="00BC7440" w:rsidRDefault="005B56B8" w:rsidP="00D73F7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Yes, Axon will be providing 3% spare equipment of every piece of hardware including the Axon Body 3 camera, docks, </w:t>
            </w:r>
            <w:r w:rsidR="00C321CD">
              <w:rPr>
                <w:rFonts w:asciiTheme="majorHAnsi" w:hAnsiTheme="majorHAnsi" w:cstheme="majorHAnsi"/>
              </w:rPr>
              <w:t xml:space="preserve">Axon Fleet camera, </w:t>
            </w:r>
            <w:proofErr w:type="spellStart"/>
            <w:r w:rsidR="00C321CD">
              <w:rPr>
                <w:rFonts w:asciiTheme="majorHAnsi" w:hAnsiTheme="majorHAnsi" w:cstheme="majorHAnsi"/>
              </w:rPr>
              <w:t>Cradlepoint</w:t>
            </w:r>
            <w:proofErr w:type="spellEnd"/>
            <w:r w:rsidR="00C321CD">
              <w:rPr>
                <w:rFonts w:asciiTheme="majorHAnsi" w:hAnsiTheme="majorHAnsi" w:cstheme="majorHAnsi"/>
              </w:rPr>
              <w:t xml:space="preserve"> IBR-1700 and wiring and mounts. </w:t>
            </w:r>
          </w:p>
        </w:tc>
      </w:tr>
    </w:tbl>
    <w:p w14:paraId="08DB1D2F" w14:textId="77777777" w:rsidR="001844F8" w:rsidRPr="00BC7440" w:rsidRDefault="001844F8" w:rsidP="00484215">
      <w:pPr>
        <w:rPr>
          <w:rFonts w:asciiTheme="majorHAnsi" w:hAnsiTheme="majorHAnsi" w:cstheme="majorHAnsi"/>
          <w:szCs w:val="24"/>
        </w:rPr>
      </w:pPr>
    </w:p>
    <w:sectPr w:rsidR="001844F8" w:rsidRPr="00BC7440" w:rsidSect="00132878">
      <w:headerReference w:type="default" r:id="rId7"/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AD66C0" w14:textId="77777777" w:rsidR="00A209A4" w:rsidRDefault="00A209A4" w:rsidP="00132878">
      <w:pPr>
        <w:spacing w:line="240" w:lineRule="auto"/>
      </w:pPr>
      <w:r>
        <w:separator/>
      </w:r>
    </w:p>
  </w:endnote>
  <w:endnote w:type="continuationSeparator" w:id="0">
    <w:p w14:paraId="1D1650A5" w14:textId="77777777" w:rsidR="00A209A4" w:rsidRDefault="00A209A4" w:rsidP="001328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70103397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14:paraId="3292F7EF" w14:textId="77777777" w:rsidR="004944D6" w:rsidRPr="004944D6" w:rsidRDefault="004944D6" w:rsidP="004944D6">
            <w:pPr>
              <w:pStyle w:val="Footer"/>
              <w:jc w:val="right"/>
              <w:rPr>
                <w:sz w:val="12"/>
              </w:rPr>
            </w:pPr>
          </w:p>
          <w:p w14:paraId="4B3E4897" w14:textId="77777777" w:rsidR="004944D6" w:rsidRPr="004944D6" w:rsidRDefault="00CA19EA" w:rsidP="00CA19EA">
            <w:pPr>
              <w:pStyle w:val="Footer"/>
              <w:tabs>
                <w:tab w:val="left" w:pos="13395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 w:rsidR="004944D6" w:rsidRPr="004944D6">
              <w:rPr>
                <w:sz w:val="20"/>
              </w:rPr>
              <w:t xml:space="preserve">Page </w: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begin"/>
            </w:r>
            <w:r w:rsidR="004944D6" w:rsidRPr="004944D6">
              <w:rPr>
                <w:b/>
                <w:bCs/>
                <w:sz w:val="20"/>
              </w:rPr>
              <w:instrText xml:space="preserve"> PAGE </w:instrTex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separate"/>
            </w:r>
            <w:r w:rsidR="00082C7C">
              <w:rPr>
                <w:b/>
                <w:bCs/>
                <w:noProof/>
                <w:sz w:val="20"/>
              </w:rPr>
              <w:t>2</w: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end"/>
            </w:r>
            <w:r w:rsidR="004944D6" w:rsidRPr="004944D6">
              <w:rPr>
                <w:sz w:val="20"/>
              </w:rPr>
              <w:t xml:space="preserve"> of </w: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begin"/>
            </w:r>
            <w:r w:rsidR="004944D6" w:rsidRPr="004944D6">
              <w:rPr>
                <w:b/>
                <w:bCs/>
                <w:sz w:val="20"/>
              </w:rPr>
              <w:instrText xml:space="preserve"> NUMPAGES  </w:instrTex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separate"/>
            </w:r>
            <w:r w:rsidR="00082C7C">
              <w:rPr>
                <w:b/>
                <w:bCs/>
                <w:noProof/>
                <w:sz w:val="20"/>
              </w:rPr>
              <w:t>2</w: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D0E51" w14:textId="77777777" w:rsidR="00A209A4" w:rsidRDefault="00A209A4" w:rsidP="00132878">
      <w:pPr>
        <w:spacing w:line="240" w:lineRule="auto"/>
      </w:pPr>
      <w:r>
        <w:separator/>
      </w:r>
    </w:p>
  </w:footnote>
  <w:footnote w:type="continuationSeparator" w:id="0">
    <w:p w14:paraId="39C489E9" w14:textId="77777777" w:rsidR="00A209A4" w:rsidRDefault="00A209A4" w:rsidP="001328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57F16B" w14:textId="6E9D9356" w:rsidR="00B03739" w:rsidRPr="00591548" w:rsidRDefault="00591548" w:rsidP="00B03739">
    <w:pPr>
      <w:pStyle w:val="Header"/>
      <w:jc w:val="center"/>
      <w:rPr>
        <w:b/>
        <w:smallCaps/>
        <w:u w:val="single"/>
      </w:rPr>
    </w:pPr>
    <w:r w:rsidRPr="00591548">
      <w:rPr>
        <w:b/>
        <w:smallCaps/>
        <w:u w:val="single"/>
      </w:rPr>
      <w:t>RFP 100-21-66665</w:t>
    </w:r>
    <w:r w:rsidR="00B03739" w:rsidRPr="00591548">
      <w:rPr>
        <w:b/>
        <w:smallCaps/>
        <w:u w:val="single"/>
      </w:rPr>
      <w:t xml:space="preserve"> Clarifications</w:t>
    </w:r>
    <w:r w:rsidR="00BC7440">
      <w:rPr>
        <w:b/>
        <w:smallCaps/>
        <w:u w:val="single"/>
      </w:rPr>
      <w:t xml:space="preserve"> - ROUND </w:t>
    </w:r>
    <w:r w:rsidR="00484215">
      <w:rPr>
        <w:b/>
        <w:smallCaps/>
        <w:u w:val="single"/>
      </w:rPr>
      <w:t>4</w:t>
    </w:r>
  </w:p>
  <w:p w14:paraId="05D5928E" w14:textId="77777777" w:rsidR="00132878" w:rsidRPr="00132878" w:rsidRDefault="00132878" w:rsidP="00132878">
    <w:pPr>
      <w:pStyle w:val="Header"/>
      <w:jc w:val="center"/>
      <w:rPr>
        <w:b/>
        <w:sz w:val="1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B6B7E"/>
    <w:multiLevelType w:val="hybridMultilevel"/>
    <w:tmpl w:val="99745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8C04BD"/>
    <w:multiLevelType w:val="hybridMultilevel"/>
    <w:tmpl w:val="E68C4A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9E33FB"/>
    <w:multiLevelType w:val="hybridMultilevel"/>
    <w:tmpl w:val="24788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878"/>
    <w:rsid w:val="00021A9C"/>
    <w:rsid w:val="00044EEA"/>
    <w:rsid w:val="000472CB"/>
    <w:rsid w:val="00056904"/>
    <w:rsid w:val="00082C7C"/>
    <w:rsid w:val="00106777"/>
    <w:rsid w:val="0012715B"/>
    <w:rsid w:val="00132878"/>
    <w:rsid w:val="00134107"/>
    <w:rsid w:val="00140C74"/>
    <w:rsid w:val="001844F8"/>
    <w:rsid w:val="0019766A"/>
    <w:rsid w:val="001D35D0"/>
    <w:rsid w:val="002A0BAA"/>
    <w:rsid w:val="002C14BB"/>
    <w:rsid w:val="003156FE"/>
    <w:rsid w:val="003B46CA"/>
    <w:rsid w:val="00414D33"/>
    <w:rsid w:val="00484215"/>
    <w:rsid w:val="004944D6"/>
    <w:rsid w:val="004B0819"/>
    <w:rsid w:val="005462A9"/>
    <w:rsid w:val="00553245"/>
    <w:rsid w:val="00582B16"/>
    <w:rsid w:val="00591548"/>
    <w:rsid w:val="00593863"/>
    <w:rsid w:val="005B4AA9"/>
    <w:rsid w:val="005B56B8"/>
    <w:rsid w:val="005C7BC1"/>
    <w:rsid w:val="005E02CB"/>
    <w:rsid w:val="00613D4B"/>
    <w:rsid w:val="00632E8C"/>
    <w:rsid w:val="00685FD0"/>
    <w:rsid w:val="00695E7C"/>
    <w:rsid w:val="006E55FC"/>
    <w:rsid w:val="00766082"/>
    <w:rsid w:val="007A3CBD"/>
    <w:rsid w:val="007F7905"/>
    <w:rsid w:val="00867C4B"/>
    <w:rsid w:val="008755A1"/>
    <w:rsid w:val="008B10B1"/>
    <w:rsid w:val="0092693A"/>
    <w:rsid w:val="00931692"/>
    <w:rsid w:val="00986504"/>
    <w:rsid w:val="009D764A"/>
    <w:rsid w:val="009E3CB4"/>
    <w:rsid w:val="00A118A6"/>
    <w:rsid w:val="00A15A8C"/>
    <w:rsid w:val="00A209A4"/>
    <w:rsid w:val="00AB4972"/>
    <w:rsid w:val="00AF4858"/>
    <w:rsid w:val="00B03739"/>
    <w:rsid w:val="00B17199"/>
    <w:rsid w:val="00B80BE2"/>
    <w:rsid w:val="00B96F3C"/>
    <w:rsid w:val="00BB589F"/>
    <w:rsid w:val="00BC339B"/>
    <w:rsid w:val="00BC7440"/>
    <w:rsid w:val="00BF3AFB"/>
    <w:rsid w:val="00C14FBF"/>
    <w:rsid w:val="00C321CD"/>
    <w:rsid w:val="00C43DF7"/>
    <w:rsid w:val="00C458ED"/>
    <w:rsid w:val="00C55191"/>
    <w:rsid w:val="00C73E3A"/>
    <w:rsid w:val="00C81FE1"/>
    <w:rsid w:val="00C84BF6"/>
    <w:rsid w:val="00CA19EA"/>
    <w:rsid w:val="00CA57A4"/>
    <w:rsid w:val="00CB41E9"/>
    <w:rsid w:val="00E33417"/>
    <w:rsid w:val="00E371B1"/>
    <w:rsid w:val="00E51646"/>
    <w:rsid w:val="00E719AD"/>
    <w:rsid w:val="00E86145"/>
    <w:rsid w:val="00F1540A"/>
    <w:rsid w:val="00FB4EEB"/>
    <w:rsid w:val="00FD3C0C"/>
    <w:rsid w:val="00FF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A64952"/>
  <w15:chartTrackingRefBased/>
  <w15:docId w15:val="{96D57219-7EC3-4A8A-A4BE-77C4C234F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="Times New Roman"/>
        <w:sz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287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878"/>
  </w:style>
  <w:style w:type="paragraph" w:styleId="Footer">
    <w:name w:val="footer"/>
    <w:basedOn w:val="Normal"/>
    <w:link w:val="FooterChar"/>
    <w:uiPriority w:val="99"/>
    <w:unhideWhenUsed/>
    <w:rsid w:val="0013287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878"/>
  </w:style>
  <w:style w:type="table" w:styleId="TableGrid">
    <w:name w:val="Table Grid"/>
    <w:basedOn w:val="TableNormal"/>
    <w:uiPriority w:val="39"/>
    <w:rsid w:val="002A0BA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7BC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BC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1"/>
    <w:qFormat/>
    <w:rsid w:val="00C43DF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1"/>
    <w:qFormat/>
    <w:locked/>
    <w:rsid w:val="00591548"/>
  </w:style>
  <w:style w:type="character" w:styleId="CommentReference">
    <w:name w:val="annotation reference"/>
    <w:basedOn w:val="DefaultParagraphFont"/>
    <w:uiPriority w:val="99"/>
    <w:semiHidden/>
    <w:unhideWhenUsed/>
    <w:rsid w:val="004842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4215"/>
    <w:pPr>
      <w:spacing w:after="160" w:line="240" w:lineRule="auto"/>
    </w:pPr>
    <w:rPr>
      <w:rFonts w:asciiTheme="minorHAnsi" w:hAnsi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4215"/>
    <w:rPr>
      <w:rFonts w:asciiTheme="minorHAnsi" w:hAnsiTheme="minorHAnsi" w:cstheme="minorBid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22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1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E. Helmer IV | IDOA</dc:creator>
  <cp:keywords/>
  <dc:description/>
  <cp:lastModifiedBy>Jeff Goolsby</cp:lastModifiedBy>
  <cp:revision>2</cp:revision>
  <dcterms:created xsi:type="dcterms:W3CDTF">2021-04-05T20:08:00Z</dcterms:created>
  <dcterms:modified xsi:type="dcterms:W3CDTF">2021-04-05T20:08:00Z</dcterms:modified>
</cp:coreProperties>
</file>